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lang w:val="zh-TW" w:eastAsia="zh-TW"/>
        </w:rPr>
      </w:pPr>
      <w:r>
        <w:rPr>
          <w:rFonts w:ascii="华文中宋" w:hAnsi="华文中宋" w:eastAsia="华文中宋" w:cs="华文中宋"/>
          <w:b/>
          <w:bCs/>
          <w:kern w:val="0"/>
          <w:sz w:val="52"/>
          <w:szCs w:val="52"/>
          <w:lang w:val="zh-TW" w:eastAsia="zh-TW"/>
        </w:rPr>
        <w:t>新疆财政支出绩效自评报告</w:t>
      </w: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年度）</w:t>
      </w:r>
    </w:p>
    <w:p>
      <w:pPr>
        <w:pStyle w:val="49"/>
        <w:spacing w:line="540" w:lineRule="exact"/>
        <w:jc w:val="center"/>
        <w:rPr>
          <w:kern w:val="0"/>
          <w:sz w:val="30"/>
          <w:szCs w:val="30"/>
        </w:rPr>
      </w:pPr>
    </w:p>
    <w:p>
      <w:pPr>
        <w:pStyle w:val="49"/>
        <w:spacing w:line="540" w:lineRule="exact"/>
        <w:jc w:val="center"/>
        <w:rPr>
          <w:kern w:val="0"/>
          <w:sz w:val="30"/>
          <w:szCs w:val="30"/>
        </w:rPr>
      </w:pPr>
    </w:p>
    <w:p>
      <w:pPr>
        <w:pStyle w:val="49"/>
        <w:spacing w:line="540" w:lineRule="exact"/>
        <w:jc w:val="center"/>
        <w:rPr>
          <w:kern w:val="0"/>
          <w:sz w:val="30"/>
          <w:szCs w:val="30"/>
        </w:rPr>
      </w:pPr>
    </w:p>
    <w:p>
      <w:pPr>
        <w:pStyle w:val="49"/>
        <w:spacing w:line="540" w:lineRule="exact"/>
        <w:jc w:val="center"/>
        <w:rPr>
          <w:kern w:val="0"/>
          <w:sz w:val="30"/>
          <w:szCs w:val="30"/>
        </w:rPr>
      </w:pPr>
    </w:p>
    <w:p>
      <w:pPr>
        <w:pStyle w:val="49"/>
        <w:spacing w:line="540" w:lineRule="exact"/>
        <w:rPr>
          <w:kern w:val="0"/>
          <w:sz w:val="30"/>
          <w:szCs w:val="30"/>
        </w:rPr>
      </w:pPr>
    </w:p>
    <w:p>
      <w:pPr>
        <w:pStyle w:val="49"/>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rPr>
        <w:t>2018年塔提库力易地搬迁工程项目</w:t>
      </w:r>
    </w:p>
    <w:p>
      <w:pPr>
        <w:pStyle w:val="49"/>
        <w:spacing w:line="70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eastAsia="zh-TW"/>
        </w:rPr>
        <w:t>塔什库尔干县财政局</w:t>
      </w:r>
    </w:p>
    <w:p>
      <w:pPr>
        <w:pStyle w:val="49"/>
        <w:spacing w:line="700" w:lineRule="exact"/>
        <w:ind w:firstLine="720" w:firstLineChars="200"/>
        <w:jc w:val="left"/>
        <w:rPr>
          <w:rFonts w:hint="eastAsia" w:ascii="仿宋_GB2312" w:hAnsi="仿宋_GB2312" w:eastAsia="仿宋_GB2312" w:cs="仿宋_GB2312"/>
          <w:kern w:val="0"/>
          <w:sz w:val="36"/>
          <w:szCs w:val="36"/>
          <w:lang w:val="zh-TW" w:eastAsia="zh-CN"/>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eastAsia="zh-TW"/>
        </w:rPr>
        <w:t>塔什库尔干县</w:t>
      </w:r>
      <w:r>
        <w:rPr>
          <w:rFonts w:hint="eastAsia" w:ascii="仿宋_GB2312" w:hAnsi="仿宋_GB2312" w:eastAsia="仿宋_GB2312" w:cs="仿宋_GB2312"/>
          <w:kern w:val="0"/>
          <w:sz w:val="36"/>
          <w:szCs w:val="36"/>
          <w:lang w:val="zh-TW" w:eastAsia="zh-CN"/>
        </w:rPr>
        <w:t>人民政府</w:t>
      </w:r>
    </w:p>
    <w:p>
      <w:pPr>
        <w:pStyle w:val="49"/>
        <w:spacing w:line="70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eastAsia="zh-TW"/>
        </w:rPr>
        <w:t>范军</w:t>
      </w:r>
    </w:p>
    <w:p>
      <w:pPr>
        <w:pStyle w:val="49"/>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12</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lang w:val="en-US" w:eastAsia="zh-CN"/>
        </w:rPr>
        <w:t>30</w:t>
      </w:r>
      <w:r>
        <w:rPr>
          <w:rFonts w:ascii="仿宋_GB2312" w:hAnsi="仿宋_GB2312" w:eastAsia="仿宋_GB2312" w:cs="仿宋_GB2312"/>
          <w:kern w:val="0"/>
          <w:sz w:val="36"/>
          <w:szCs w:val="36"/>
          <w:lang w:val="zh-TW" w:eastAsia="zh-TW"/>
        </w:rPr>
        <w:t>日</w:t>
      </w:r>
    </w:p>
    <w:p>
      <w:pPr>
        <w:pStyle w:val="49"/>
        <w:spacing w:line="700" w:lineRule="exact"/>
        <w:ind w:firstLine="624" w:firstLineChars="200"/>
        <w:jc w:val="left"/>
        <w:rPr>
          <w:rStyle w:val="19"/>
          <w:rFonts w:hint="eastAsia" w:ascii="黑体" w:hAnsi="黑体" w:eastAsia="黑体"/>
          <w:b w:val="0"/>
          <w:spacing w:val="-4"/>
          <w:sz w:val="32"/>
          <w:szCs w:val="32"/>
        </w:rPr>
      </w:pPr>
    </w:p>
    <w:p>
      <w:pPr>
        <w:pStyle w:val="49"/>
        <w:spacing w:line="700" w:lineRule="exact"/>
        <w:ind w:firstLine="624" w:firstLineChars="200"/>
        <w:jc w:val="left"/>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spacing w:line="560" w:lineRule="exact"/>
        <w:rPr>
          <w:rFonts w:hint="eastAsia" w:ascii="仿宋" w:hAnsi="仿宋" w:eastAsia="仿宋" w:cs="仿宋"/>
          <w:sz w:val="32"/>
          <w:szCs w:val="32"/>
        </w:rPr>
      </w:pPr>
      <w:r>
        <w:rPr>
          <w:rFonts w:hint="eastAsia" w:ascii="仿宋" w:hAnsi="仿宋" w:eastAsia="仿宋" w:cs="仿宋"/>
          <w:sz w:val="32"/>
          <w:szCs w:val="32"/>
        </w:rPr>
        <w:t>主要职能：塔什库尔干县财政局职能主要有：全县财政收支、财税政策、实施财政监督、拟定和执行本县政府采购政策、政府非税收入管理、国库管理有关工作、国有资产管理制度、编制年度预决算草案就组织执行等。参与制定我县各项经济等方面政策、法规、研究起草、制定和组织实施我县相关地方性建设工作。</w:t>
      </w:r>
      <w:bookmarkStart w:id="0" w:name="_GoBack"/>
      <w:bookmarkEnd w:id="0"/>
    </w:p>
    <w:p>
      <w:pPr>
        <w:spacing w:line="560" w:lineRule="exact"/>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机构设置情况</w:t>
      </w:r>
      <w:r>
        <w:rPr>
          <w:rFonts w:hint="eastAsia" w:ascii="仿宋" w:hAnsi="仿宋" w:eastAsia="仿宋" w:cs="仿宋"/>
          <w:sz w:val="32"/>
          <w:szCs w:val="32"/>
          <w:lang w:val="en-US" w:eastAsia="zh-CN"/>
        </w:rPr>
        <w:t>:</w:t>
      </w:r>
      <w:r>
        <w:rPr>
          <w:rFonts w:hint="eastAsia" w:ascii="仿宋" w:hAnsi="仿宋" w:eastAsia="仿宋" w:cs="仿宋"/>
          <w:sz w:val="32"/>
          <w:szCs w:val="32"/>
        </w:rPr>
        <w:t>塔什库尔干县财政局单位性质为行政单位全额拨款，执行会计制度为行政会计制度，独立编制机构2个，内设机构有：塔什库尔干县财政局（本级）、塔什库尔干县工资统发中心、塔什库尔干县政府采购中心。</w:t>
      </w:r>
    </w:p>
    <w:p>
      <w:pPr>
        <w:numPr>
          <w:ilvl w:val="0"/>
          <w:numId w:val="0"/>
        </w:numPr>
        <w:spacing w:line="560" w:lineRule="exact"/>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机构人员情况：编制21人（按照编委文件填报），实有在职人数17人，退休0人，属于一般公共预算财政拨款（补助）开支17人，其中：在职17人，退休0人。</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对偏远地方的农牧民和生活条件不便的地方的农牧民进行易地搬迁，通过易地搬迁使得农牧民生活质量改善和提高。</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本项目性质为新增项目。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主要用于2018年塔提库力易地搬迁项目。</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2018年塔提库力易地搬迁项目预算安排总额为296.1万元，其中财政资金296.1万元，2018年实际收到预算资金296.1万元。</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本项目实际支付资金296.1万元，预算执行率100.00</w:t>
      </w:r>
      <w:r>
        <w:rPr>
          <w:rFonts w:ascii="仿宋" w:hAnsi="仿宋" w:eastAsia="仿宋"/>
          <w:bCs/>
          <w:spacing w:val="-4"/>
          <w:sz w:val="32"/>
          <w:szCs w:val="32"/>
        </w:rPr>
        <w:t>%</w:t>
      </w:r>
      <w:r>
        <w:rPr>
          <w:rFonts w:hint="eastAsia" w:ascii="仿宋" w:hAnsi="仿宋" w:eastAsia="仿宋"/>
          <w:bCs/>
          <w:spacing w:val="-4"/>
          <w:sz w:val="32"/>
          <w:szCs w:val="32"/>
        </w:rPr>
        <w:t>。项目资金主要用于支付2018年塔提库力易地搬迁项目296.1万元。</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支出符合新疆喀什地区塔什库尔干县财政国库集中支付相关财务管理制度，符合国家财经法规和财务管理制度以及有关资金管理办法的规定，资金的拨付有完整的审批程序和手续，不存在截留、挤占、挪用等情况。</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该项目属于经常性零星项目,没有达到招投标限额,由本单位自行组织实施。实施过程均按照本单位制定的管理制度执行。</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9"/>
          <w:rFonts w:ascii="仿宋" w:hAnsi="仿宋" w:eastAsia="仿宋"/>
          <w:b w:val="0"/>
          <w:spacing w:val="-4"/>
          <w:sz w:val="32"/>
          <w:szCs w:val="32"/>
        </w:rPr>
      </w:pPr>
      <w:r>
        <w:rPr>
          <w:rFonts w:hint="eastAsia" w:ascii="仿宋" w:hAnsi="仿宋" w:eastAsia="仿宋"/>
          <w:bCs/>
          <w:spacing w:val="-4"/>
          <w:sz w:val="32"/>
          <w:szCs w:val="32"/>
        </w:rPr>
        <w:t>项目实施过程中，塔什库尔干县财政局制定了财政资金要通过集中支付制度，项目的实施遵守相关法律法规和业务管理规定。已建立《财政资金管理制度》，不定期项目实施情况进行核查，及时工程及搬迁进度。</w:t>
      </w:r>
    </w:p>
    <w:p>
      <w:pPr>
        <w:adjustRightInd w:val="0"/>
        <w:snapToGrid w:val="0"/>
        <w:spacing w:line="560" w:lineRule="exact"/>
        <w:ind w:firstLine="624" w:firstLineChars="200"/>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lang w:val="en-US" w:eastAsia="zh-CN"/>
        </w:rPr>
        <w:t>9</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9</w:t>
      </w:r>
      <w:r>
        <w:rPr>
          <w:rFonts w:ascii="仿宋" w:hAnsi="仿宋" w:eastAsia="仿宋"/>
          <w:bCs/>
          <w:spacing w:val="-4"/>
          <w:sz w:val="32"/>
          <w:szCs w:val="32"/>
        </w:rPr>
        <w:t>个</w:t>
      </w:r>
      <w:r>
        <w:rPr>
          <w:rFonts w:hint="eastAsia" w:ascii="仿宋" w:hAnsi="仿宋" w:eastAsia="仿宋"/>
          <w:bCs/>
          <w:spacing w:val="-4"/>
          <w:sz w:val="32"/>
          <w:szCs w:val="32"/>
        </w:rPr>
        <w:t>，其中</w:t>
      </w:r>
      <w:r>
        <w:rPr>
          <w:rFonts w:ascii="仿宋" w:hAnsi="仿宋" w:eastAsia="仿宋"/>
          <w:bCs/>
          <w:spacing w:val="-4"/>
          <w:sz w:val="32"/>
          <w:szCs w:val="32"/>
        </w:rPr>
        <w:t>已完成三级指标</w:t>
      </w:r>
      <w:r>
        <w:rPr>
          <w:rFonts w:hint="eastAsia" w:ascii="仿宋" w:hAnsi="仿宋" w:eastAsia="仿宋"/>
          <w:bCs/>
          <w:spacing w:val="-4"/>
          <w:sz w:val="32"/>
          <w:szCs w:val="32"/>
        </w:rPr>
        <w:t>9</w:t>
      </w:r>
      <w:r>
        <w:rPr>
          <w:rFonts w:ascii="仿宋" w:hAnsi="仿宋" w:eastAsia="仿宋"/>
          <w:bCs/>
          <w:spacing w:val="-4"/>
          <w:sz w:val="32"/>
          <w:szCs w:val="32"/>
        </w:rPr>
        <w:t>个</w:t>
      </w:r>
      <w:r>
        <w:rPr>
          <w:rFonts w:hint="eastAsia" w:ascii="仿宋" w:hAnsi="仿宋" w:eastAsia="仿宋"/>
          <w:bCs/>
          <w:spacing w:val="-4"/>
          <w:sz w:val="32"/>
          <w:szCs w:val="32"/>
        </w:rPr>
        <w:t>，指标完成率为100.00%。</w:t>
      </w:r>
    </w:p>
    <w:p>
      <w:pPr>
        <w:adjustRightInd w:val="0"/>
        <w:snapToGrid w:val="0"/>
        <w:spacing w:line="560" w:lineRule="exact"/>
        <w:ind w:firstLine="624" w:firstLineChars="200"/>
        <w:rPr>
          <w:rStyle w:val="19"/>
          <w:rFonts w:hint="eastAsia" w:ascii="仿宋" w:hAnsi="仿宋" w:eastAsia="仿宋"/>
          <w:b w:val="0"/>
          <w:spacing w:val="-4"/>
          <w:sz w:val="32"/>
          <w:szCs w:val="32"/>
          <w:lang w:eastAsia="zh-CN"/>
        </w:rPr>
      </w:pPr>
      <w:r>
        <w:rPr>
          <w:rStyle w:val="19"/>
          <w:rFonts w:hint="eastAsia" w:ascii="仿宋" w:hAnsi="仿宋" w:eastAsia="仿宋"/>
          <w:b w:val="0"/>
          <w:spacing w:val="-4"/>
          <w:sz w:val="32"/>
          <w:szCs w:val="32"/>
        </w:rPr>
        <w:t>经济性：</w:t>
      </w:r>
      <w:r>
        <w:rPr>
          <w:rStyle w:val="19"/>
          <w:rFonts w:hint="eastAsia" w:ascii="仿宋" w:hAnsi="仿宋" w:eastAsia="仿宋"/>
          <w:b w:val="0"/>
          <w:spacing w:val="-4"/>
          <w:sz w:val="32"/>
          <w:szCs w:val="32"/>
          <w:lang w:eastAsia="zh-CN"/>
        </w:rPr>
        <w:t>按</w:t>
      </w:r>
      <w:r>
        <w:rPr>
          <w:rStyle w:val="19"/>
          <w:rFonts w:hint="eastAsia" w:ascii="仿宋" w:hAnsi="仿宋" w:eastAsia="仿宋"/>
          <w:b w:val="0"/>
          <w:spacing w:val="-4"/>
          <w:sz w:val="32"/>
          <w:szCs w:val="32"/>
        </w:rPr>
        <w:t>房屋标准</w:t>
      </w:r>
      <w:r>
        <w:rPr>
          <w:rStyle w:val="19"/>
          <w:rFonts w:hint="eastAsia" w:ascii="仿宋" w:hAnsi="仿宋" w:eastAsia="仿宋"/>
          <w:b w:val="0"/>
          <w:spacing w:val="-4"/>
          <w:sz w:val="32"/>
          <w:szCs w:val="32"/>
          <w:lang w:eastAsia="zh-CN"/>
        </w:rPr>
        <w:t>发放费用，将成本控制在合理范围内。</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效率性：按月按要求完成相应的搬迁工作。</w:t>
      </w:r>
    </w:p>
    <w:p>
      <w:pPr>
        <w:adjustRightInd w:val="0"/>
        <w:snapToGrid w:val="0"/>
        <w:spacing w:line="560" w:lineRule="exact"/>
        <w:ind w:firstLine="624" w:firstLineChars="200"/>
        <w:rPr>
          <w:rFonts w:ascii="仿宋" w:hAnsi="仿宋" w:eastAsia="仿宋"/>
          <w:bCs/>
          <w:spacing w:val="-4"/>
          <w:sz w:val="32"/>
          <w:szCs w:val="32"/>
        </w:rPr>
      </w:pPr>
      <w:r>
        <w:rPr>
          <w:rStyle w:val="19"/>
          <w:rFonts w:hint="eastAsia" w:ascii="仿宋" w:hAnsi="仿宋" w:eastAsia="仿宋"/>
          <w:b w:val="0"/>
          <w:spacing w:val="-4"/>
          <w:sz w:val="32"/>
          <w:szCs w:val="32"/>
        </w:rPr>
        <w:t>效益性：使的农牧民生活水平换环境得到改善。</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不存在未完成情况</w:t>
      </w:r>
      <w:r>
        <w:rPr>
          <w:rFonts w:ascii="仿宋" w:hAnsi="仿宋" w:eastAsia="仿宋"/>
          <w:spacing w:val="-4"/>
          <w:sz w:val="32"/>
          <w:szCs w:val="32"/>
        </w:rPr>
        <w:t>:</w:t>
      </w:r>
      <w:r>
        <w:rPr>
          <w:rFonts w:hint="eastAsia" w:ascii="仿宋" w:hAnsi="仿宋" w:eastAsia="仿宋"/>
          <w:spacing w:val="-4"/>
          <w:sz w:val="32"/>
          <w:szCs w:val="32"/>
        </w:rPr>
        <w:t>“2018年本项目绩效目标全部达成，不存在未完成原因分析。”</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hint="eastAsia" w:ascii="仿宋" w:hAnsi="仿宋" w:eastAsia="仿宋"/>
          <w:bCs/>
          <w:spacing w:val="-4"/>
          <w:sz w:val="32"/>
          <w:szCs w:val="32"/>
          <w:lang w:eastAsia="zh-CN"/>
        </w:rPr>
      </w:pPr>
      <w:r>
        <w:rPr>
          <w:rFonts w:hint="eastAsia" w:ascii="仿宋" w:hAnsi="仿宋" w:eastAsia="仿宋"/>
          <w:bCs/>
          <w:spacing w:val="-4"/>
          <w:sz w:val="32"/>
          <w:szCs w:val="32"/>
          <w:lang w:eastAsia="zh-CN"/>
        </w:rPr>
        <w:t>对农户住房安全问题进行抽查，保障保障农牧民住房安全。</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w:t>
      </w:r>
    </w:p>
    <w:p>
      <w:pPr>
        <w:adjustRightInd w:val="0"/>
        <w:snapToGrid w:val="0"/>
        <w:spacing w:line="560" w:lineRule="exact"/>
        <w:ind w:firstLine="624" w:firstLineChars="200"/>
        <w:rPr>
          <w:rFonts w:hint="eastAsia" w:ascii="仿宋" w:hAnsi="仿宋" w:eastAsia="仿宋"/>
          <w:bCs/>
          <w:spacing w:val="-4"/>
          <w:sz w:val="32"/>
          <w:szCs w:val="32"/>
          <w:lang w:eastAsia="zh-CN"/>
        </w:rPr>
      </w:pPr>
      <w:r>
        <w:rPr>
          <w:rFonts w:hint="eastAsia" w:ascii="仿宋" w:hAnsi="仿宋" w:eastAsia="仿宋"/>
          <w:bCs/>
          <w:spacing w:val="-4"/>
          <w:sz w:val="32"/>
          <w:szCs w:val="32"/>
          <w:lang w:eastAsia="zh-CN"/>
        </w:rPr>
        <w:t>及时完成</w:t>
      </w:r>
      <w:r>
        <w:rPr>
          <w:rFonts w:hint="eastAsia" w:ascii="仿宋" w:hAnsi="仿宋" w:eastAsia="仿宋"/>
          <w:bCs/>
          <w:spacing w:val="-4"/>
          <w:sz w:val="32"/>
          <w:szCs w:val="32"/>
        </w:rPr>
        <w:t>全县易地搬迁的规划、组织、协调、指导、监督以及验收工作</w:t>
      </w:r>
      <w:r>
        <w:rPr>
          <w:rFonts w:hint="eastAsia" w:ascii="仿宋" w:hAnsi="仿宋" w:eastAsia="仿宋"/>
          <w:bCs/>
          <w:spacing w:val="-4"/>
          <w:sz w:val="32"/>
          <w:szCs w:val="32"/>
          <w:lang w:eastAsia="zh-CN"/>
        </w:rPr>
        <w:t>，切实解决农牧民的住房问题。</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2、存在的问题</w:t>
      </w:r>
    </w:p>
    <w:p>
      <w:pPr>
        <w:adjustRightInd w:val="0"/>
        <w:snapToGrid w:val="0"/>
        <w:spacing w:line="560" w:lineRule="exact"/>
        <w:ind w:firstLine="624" w:firstLineChars="200"/>
        <w:rPr>
          <w:rFonts w:hint="eastAsia" w:ascii="仿宋" w:hAnsi="仿宋" w:eastAsia="仿宋"/>
          <w:bCs/>
          <w:spacing w:val="-4"/>
          <w:sz w:val="32"/>
          <w:szCs w:val="32"/>
          <w:lang w:eastAsia="zh-CN"/>
        </w:rPr>
      </w:pPr>
      <w:r>
        <w:rPr>
          <w:rFonts w:hint="eastAsia" w:ascii="仿宋" w:hAnsi="仿宋" w:eastAsia="仿宋"/>
          <w:bCs/>
          <w:spacing w:val="-4"/>
          <w:sz w:val="32"/>
          <w:szCs w:val="32"/>
        </w:rPr>
        <w:t>无</w:t>
      </w:r>
      <w:r>
        <w:rPr>
          <w:rFonts w:hint="eastAsia" w:ascii="仿宋" w:hAnsi="仿宋" w:eastAsia="仿宋"/>
          <w:bCs/>
          <w:spacing w:val="-4"/>
          <w:sz w:val="32"/>
          <w:szCs w:val="32"/>
          <w:lang w:eastAsia="zh-CN"/>
        </w:rPr>
        <w:t>。</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3、建议</w:t>
      </w:r>
    </w:p>
    <w:p>
      <w:pPr>
        <w:adjustRightInd w:val="0"/>
        <w:snapToGrid w:val="0"/>
        <w:spacing w:line="560" w:lineRule="exact"/>
        <w:ind w:firstLine="624" w:firstLineChars="200"/>
        <w:rPr>
          <w:rFonts w:hint="eastAsia" w:ascii="仿宋" w:hAnsi="仿宋" w:eastAsia="仿宋"/>
          <w:bCs/>
          <w:spacing w:val="-4"/>
          <w:sz w:val="32"/>
          <w:szCs w:val="32"/>
          <w:lang w:eastAsia="zh-CN"/>
        </w:rPr>
      </w:pPr>
      <w:r>
        <w:rPr>
          <w:rFonts w:hint="eastAsia" w:ascii="仿宋" w:hAnsi="仿宋" w:eastAsia="仿宋"/>
          <w:bCs/>
          <w:spacing w:val="-4"/>
          <w:sz w:val="32"/>
          <w:szCs w:val="32"/>
        </w:rPr>
        <w:t>无</w:t>
      </w:r>
      <w:r>
        <w:rPr>
          <w:rFonts w:hint="eastAsia" w:ascii="仿宋" w:hAnsi="仿宋" w:eastAsia="仿宋"/>
          <w:bCs/>
          <w:spacing w:val="-4"/>
          <w:sz w:val="32"/>
          <w:szCs w:val="32"/>
          <w:lang w:eastAsia="zh-CN"/>
        </w:rPr>
        <w:t>。</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pStyle w:val="16"/>
        <w:spacing w:before="0" w:beforeAutospacing="0" w:after="0" w:afterAutospacing="0" w:line="528" w:lineRule="atLeast"/>
        <w:ind w:firstLine="480"/>
        <w:jc w:val="both"/>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w:t>
      </w:r>
      <w:r>
        <w:rPr>
          <w:rFonts w:hint="eastAsia" w:ascii="仿宋" w:hAnsi="仿宋" w:eastAsia="仿宋"/>
          <w:bCs/>
          <w:spacing w:val="-4"/>
          <w:sz w:val="32"/>
          <w:szCs w:val="32"/>
        </w:rPr>
        <w:t>2018年塔提库力易地搬迁项目</w:t>
      </w:r>
      <w:r>
        <w:rPr>
          <w:rFonts w:hint="eastAsia" w:ascii="仿宋" w:hAnsi="仿宋" w:eastAsia="仿宋"/>
          <w:spacing w:val="-4"/>
          <w:sz w:val="32"/>
          <w:szCs w:val="32"/>
        </w:rPr>
        <w:t>资金的使用效率和效果，全年共支出</w:t>
      </w:r>
      <w:r>
        <w:rPr>
          <w:rFonts w:hint="eastAsia" w:ascii="仿宋" w:hAnsi="仿宋" w:eastAsia="仿宋"/>
          <w:bCs/>
          <w:spacing w:val="-4"/>
          <w:sz w:val="32"/>
          <w:szCs w:val="32"/>
        </w:rPr>
        <w:t>296.1</w:t>
      </w:r>
      <w:r>
        <w:rPr>
          <w:rFonts w:hint="eastAsia" w:ascii="仿宋" w:hAnsi="仿宋" w:eastAsia="仿宋"/>
          <w:spacing w:val="-4"/>
          <w:sz w:val="32"/>
          <w:szCs w:val="32"/>
        </w:rPr>
        <w:t>万元，主要用于塔提库力易地搬迁支出。</w:t>
      </w:r>
      <w:r>
        <w:rPr>
          <w:rFonts w:hint="eastAsia" w:ascii="仿宋" w:hAnsi="仿宋" w:eastAsia="仿宋" w:cs="仿宋"/>
          <w:color w:val="auto"/>
          <w:spacing w:val="-4"/>
          <w:sz w:val="32"/>
          <w:szCs w:val="32"/>
        </w:rPr>
        <w:t>项目管理过程规范，完成了预期绩效目标。</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9"/>
          <w:rFonts w:hint="eastAsia" w:ascii="仿宋" w:hAnsi="仿宋" w:eastAsia="仿宋"/>
          <w:spacing w:val="-4"/>
          <w:sz w:val="32"/>
          <w:szCs w:val="32"/>
        </w:rPr>
      </w:pPr>
    </w:p>
    <w:p>
      <w:pPr>
        <w:adjustRightInd w:val="0"/>
        <w:snapToGrid w:val="0"/>
        <w:spacing w:line="560" w:lineRule="exact"/>
        <w:ind w:firstLine="627" w:firstLineChars="200"/>
        <w:rPr>
          <w:rStyle w:val="19"/>
          <w:rFonts w:ascii="仿宋" w:hAnsi="仿宋" w:eastAsia="仿宋"/>
          <w:spacing w:val="-4"/>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41C7"/>
    <w:rsid w:val="00033110"/>
    <w:rsid w:val="00084276"/>
    <w:rsid w:val="000926AE"/>
    <w:rsid w:val="000E3540"/>
    <w:rsid w:val="0012208E"/>
    <w:rsid w:val="00135256"/>
    <w:rsid w:val="00164D3F"/>
    <w:rsid w:val="001968CE"/>
    <w:rsid w:val="001A4E1F"/>
    <w:rsid w:val="001A57B9"/>
    <w:rsid w:val="001C3847"/>
    <w:rsid w:val="001D065F"/>
    <w:rsid w:val="001F3031"/>
    <w:rsid w:val="00210A26"/>
    <w:rsid w:val="0023702B"/>
    <w:rsid w:val="002530E4"/>
    <w:rsid w:val="002A2532"/>
    <w:rsid w:val="002A2D76"/>
    <w:rsid w:val="00365250"/>
    <w:rsid w:val="0036624C"/>
    <w:rsid w:val="00385849"/>
    <w:rsid w:val="003A112C"/>
    <w:rsid w:val="003D2F34"/>
    <w:rsid w:val="003F1A98"/>
    <w:rsid w:val="00412E09"/>
    <w:rsid w:val="004B62D3"/>
    <w:rsid w:val="004C312B"/>
    <w:rsid w:val="004C7D21"/>
    <w:rsid w:val="004E39D7"/>
    <w:rsid w:val="004E4555"/>
    <w:rsid w:val="0050167F"/>
    <w:rsid w:val="00514506"/>
    <w:rsid w:val="005162F1"/>
    <w:rsid w:val="00516E80"/>
    <w:rsid w:val="00535153"/>
    <w:rsid w:val="00550FA0"/>
    <w:rsid w:val="00575CFE"/>
    <w:rsid w:val="00583AFC"/>
    <w:rsid w:val="00592D09"/>
    <w:rsid w:val="00645662"/>
    <w:rsid w:val="00675D58"/>
    <w:rsid w:val="006A4F7E"/>
    <w:rsid w:val="006F2E6D"/>
    <w:rsid w:val="00713B61"/>
    <w:rsid w:val="00720D68"/>
    <w:rsid w:val="007218B8"/>
    <w:rsid w:val="00755C6A"/>
    <w:rsid w:val="00780BEB"/>
    <w:rsid w:val="00785FDE"/>
    <w:rsid w:val="00794B84"/>
    <w:rsid w:val="007A0351"/>
    <w:rsid w:val="007A14BC"/>
    <w:rsid w:val="007A438A"/>
    <w:rsid w:val="007C1025"/>
    <w:rsid w:val="007E6845"/>
    <w:rsid w:val="007F5F8A"/>
    <w:rsid w:val="00826CA1"/>
    <w:rsid w:val="00835B7F"/>
    <w:rsid w:val="00855E3A"/>
    <w:rsid w:val="00882985"/>
    <w:rsid w:val="00900EBC"/>
    <w:rsid w:val="0090516C"/>
    <w:rsid w:val="00922CB9"/>
    <w:rsid w:val="009350F7"/>
    <w:rsid w:val="009B526F"/>
    <w:rsid w:val="009B690F"/>
    <w:rsid w:val="009C1AFD"/>
    <w:rsid w:val="009D4BFB"/>
    <w:rsid w:val="00A25D82"/>
    <w:rsid w:val="00A26421"/>
    <w:rsid w:val="00A4293B"/>
    <w:rsid w:val="00A71BA3"/>
    <w:rsid w:val="00A83BD5"/>
    <w:rsid w:val="00A977DF"/>
    <w:rsid w:val="00AD6E40"/>
    <w:rsid w:val="00AE46DC"/>
    <w:rsid w:val="00AE6A23"/>
    <w:rsid w:val="00B06CA5"/>
    <w:rsid w:val="00B10481"/>
    <w:rsid w:val="00B13FCF"/>
    <w:rsid w:val="00B16440"/>
    <w:rsid w:val="00B41F61"/>
    <w:rsid w:val="00B55332"/>
    <w:rsid w:val="00B86E8C"/>
    <w:rsid w:val="00B9160B"/>
    <w:rsid w:val="00BA1D00"/>
    <w:rsid w:val="00BE1A00"/>
    <w:rsid w:val="00C22CF0"/>
    <w:rsid w:val="00C23E1C"/>
    <w:rsid w:val="00C56C72"/>
    <w:rsid w:val="00C91FEF"/>
    <w:rsid w:val="00C960F2"/>
    <w:rsid w:val="00CA6457"/>
    <w:rsid w:val="00CB38AD"/>
    <w:rsid w:val="00CC4442"/>
    <w:rsid w:val="00CC6E4D"/>
    <w:rsid w:val="00D151EE"/>
    <w:rsid w:val="00D17F2E"/>
    <w:rsid w:val="00D46194"/>
    <w:rsid w:val="00D50546"/>
    <w:rsid w:val="00D7118C"/>
    <w:rsid w:val="00D73448"/>
    <w:rsid w:val="00E01293"/>
    <w:rsid w:val="00E027D1"/>
    <w:rsid w:val="00E33ADB"/>
    <w:rsid w:val="00E454BF"/>
    <w:rsid w:val="00E769FE"/>
    <w:rsid w:val="00EA1A16"/>
    <w:rsid w:val="00EA2CBE"/>
    <w:rsid w:val="00EF3FFA"/>
    <w:rsid w:val="00F32FEE"/>
    <w:rsid w:val="00F33A0E"/>
    <w:rsid w:val="00F53E69"/>
    <w:rsid w:val="05D07ACC"/>
    <w:rsid w:val="1336109A"/>
    <w:rsid w:val="1DC65AC8"/>
    <w:rsid w:val="61CB3D31"/>
    <w:rsid w:val="646152B6"/>
    <w:rsid w:val="7CC41463"/>
  </w:rsids>
  <m:mathPr>
    <m:lMargin m:val="0"/>
    <m:mathFont m:val="Cambria Math"/>
    <m:rMargin m:val="0"/>
    <m:wrapIndent m:val="1440"/>
    <m:brkBin m:val="before"/>
    <m:brkBinSub m:val="--"/>
    <m:defJc m:val="centerGroup"/>
    <m:intLim m:val="subSup"/>
    <m:naryLim m:val="undOvr"/>
    <m:smallFrac m:val="1"/>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3"/>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4"/>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5"/>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6"/>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7"/>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8"/>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9"/>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0"/>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unhideWhenUsed/>
    <w:qFormat/>
    <w:uiPriority w:val="1"/>
  </w:style>
  <w:style w:type="table" w:default="1" w:styleId="21">
    <w:name w:val="Normal Table"/>
    <w:unhideWhenUsed/>
    <w:qFormat/>
    <w:uiPriority w:val="99"/>
    <w:tblPr>
      <w:tblLayout w:type="fixed"/>
      <w:tblCellMar>
        <w:top w:w="0" w:type="dxa"/>
        <w:left w:w="108" w:type="dxa"/>
        <w:bottom w:w="0" w:type="dxa"/>
        <w:right w:w="108" w:type="dxa"/>
      </w:tblCellMar>
    </w:tblPr>
  </w:style>
  <w:style w:type="paragraph" w:styleId="11">
    <w:name w:val="Document Map"/>
    <w:basedOn w:val="1"/>
    <w:link w:val="47"/>
    <w:unhideWhenUsed/>
    <w:qFormat/>
    <w:uiPriority w:val="99"/>
    <w:rPr>
      <w:rFonts w:ascii="宋体"/>
      <w:sz w:val="18"/>
      <w:szCs w:val="18"/>
    </w:rPr>
  </w:style>
  <w:style w:type="paragraph" w:styleId="12">
    <w:name w:val="Balloon Text"/>
    <w:basedOn w:val="1"/>
    <w:link w:val="48"/>
    <w:unhideWhenUsed/>
    <w:qFormat/>
    <w:uiPriority w:val="99"/>
    <w:rPr>
      <w:sz w:val="18"/>
      <w:szCs w:val="18"/>
    </w:rPr>
  </w:style>
  <w:style w:type="paragraph" w:styleId="13">
    <w:name w:val="footer"/>
    <w:basedOn w:val="1"/>
    <w:link w:val="46"/>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5"/>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2"/>
    <w:qFormat/>
    <w:uiPriority w:val="11"/>
    <w:pPr>
      <w:widowControl/>
      <w:spacing w:after="60"/>
      <w:jc w:val="center"/>
      <w:outlineLvl w:val="1"/>
    </w:pPr>
    <w:rPr>
      <w:rFonts w:asciiTheme="majorHAnsi" w:hAnsiTheme="majorHAnsi" w:eastAsiaTheme="majorEastAsia"/>
      <w:kern w:val="0"/>
      <w:sz w:val="24"/>
    </w:rPr>
  </w:style>
  <w:style w:type="paragraph" w:styleId="1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17">
    <w:name w:val="Title"/>
    <w:basedOn w:val="1"/>
    <w:next w:val="1"/>
    <w:link w:val="3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2">
    <w:name w:val="标题 1 Char"/>
    <w:basedOn w:val="18"/>
    <w:link w:val="2"/>
    <w:qFormat/>
    <w:uiPriority w:val="9"/>
    <w:rPr>
      <w:rFonts w:asciiTheme="majorHAnsi" w:hAnsiTheme="majorHAnsi" w:eastAsiaTheme="majorEastAsia"/>
      <w:b/>
      <w:bCs/>
      <w:kern w:val="32"/>
      <w:sz w:val="32"/>
      <w:szCs w:val="32"/>
    </w:rPr>
  </w:style>
  <w:style w:type="character" w:customStyle="1" w:styleId="23">
    <w:name w:val="标题 2 Char"/>
    <w:basedOn w:val="18"/>
    <w:link w:val="3"/>
    <w:semiHidden/>
    <w:qFormat/>
    <w:uiPriority w:val="9"/>
    <w:rPr>
      <w:rFonts w:asciiTheme="majorHAnsi" w:hAnsiTheme="majorHAnsi" w:eastAsiaTheme="majorEastAsia"/>
      <w:b/>
      <w:bCs/>
      <w:i/>
      <w:iCs/>
      <w:sz w:val="28"/>
      <w:szCs w:val="28"/>
    </w:rPr>
  </w:style>
  <w:style w:type="character" w:customStyle="1" w:styleId="24">
    <w:name w:val="标题 3 Char"/>
    <w:basedOn w:val="18"/>
    <w:link w:val="4"/>
    <w:semiHidden/>
    <w:qFormat/>
    <w:uiPriority w:val="9"/>
    <w:rPr>
      <w:rFonts w:asciiTheme="majorHAnsi" w:hAnsiTheme="majorHAnsi" w:eastAsiaTheme="majorEastAsia"/>
      <w:b/>
      <w:bCs/>
      <w:sz w:val="26"/>
      <w:szCs w:val="26"/>
    </w:rPr>
  </w:style>
  <w:style w:type="character" w:customStyle="1" w:styleId="25">
    <w:name w:val="标题 4 Char"/>
    <w:basedOn w:val="18"/>
    <w:link w:val="5"/>
    <w:semiHidden/>
    <w:qFormat/>
    <w:uiPriority w:val="9"/>
    <w:rPr>
      <w:b/>
      <w:bCs/>
      <w:sz w:val="28"/>
      <w:szCs w:val="28"/>
    </w:rPr>
  </w:style>
  <w:style w:type="character" w:customStyle="1" w:styleId="26">
    <w:name w:val="标题 5 Char"/>
    <w:basedOn w:val="18"/>
    <w:link w:val="6"/>
    <w:semiHidden/>
    <w:qFormat/>
    <w:uiPriority w:val="9"/>
    <w:rPr>
      <w:b/>
      <w:bCs/>
      <w:i/>
      <w:iCs/>
      <w:sz w:val="26"/>
      <w:szCs w:val="26"/>
    </w:rPr>
  </w:style>
  <w:style w:type="character" w:customStyle="1" w:styleId="27">
    <w:name w:val="标题 6 Char"/>
    <w:basedOn w:val="18"/>
    <w:link w:val="7"/>
    <w:semiHidden/>
    <w:qFormat/>
    <w:uiPriority w:val="9"/>
    <w:rPr>
      <w:b/>
      <w:bCs/>
    </w:rPr>
  </w:style>
  <w:style w:type="character" w:customStyle="1" w:styleId="28">
    <w:name w:val="标题 7 Char"/>
    <w:basedOn w:val="18"/>
    <w:link w:val="8"/>
    <w:semiHidden/>
    <w:qFormat/>
    <w:uiPriority w:val="9"/>
    <w:rPr>
      <w:sz w:val="24"/>
      <w:szCs w:val="24"/>
    </w:rPr>
  </w:style>
  <w:style w:type="character" w:customStyle="1" w:styleId="29">
    <w:name w:val="标题 8 Char"/>
    <w:basedOn w:val="18"/>
    <w:link w:val="9"/>
    <w:semiHidden/>
    <w:qFormat/>
    <w:uiPriority w:val="9"/>
    <w:rPr>
      <w:i/>
      <w:iCs/>
      <w:sz w:val="24"/>
      <w:szCs w:val="24"/>
    </w:rPr>
  </w:style>
  <w:style w:type="character" w:customStyle="1" w:styleId="30">
    <w:name w:val="标题 9 Char"/>
    <w:basedOn w:val="18"/>
    <w:link w:val="10"/>
    <w:semiHidden/>
    <w:qFormat/>
    <w:uiPriority w:val="9"/>
    <w:rPr>
      <w:rFonts w:asciiTheme="majorHAnsi" w:hAnsiTheme="majorHAnsi" w:eastAsiaTheme="majorEastAsia"/>
    </w:rPr>
  </w:style>
  <w:style w:type="character" w:customStyle="1" w:styleId="31">
    <w:name w:val="标题 Char"/>
    <w:basedOn w:val="18"/>
    <w:link w:val="17"/>
    <w:qFormat/>
    <w:uiPriority w:val="10"/>
    <w:rPr>
      <w:rFonts w:asciiTheme="majorHAnsi" w:hAnsiTheme="majorHAnsi" w:eastAsiaTheme="majorEastAsia"/>
      <w:b/>
      <w:bCs/>
      <w:kern w:val="28"/>
      <w:sz w:val="32"/>
      <w:szCs w:val="32"/>
    </w:rPr>
  </w:style>
  <w:style w:type="character" w:customStyle="1" w:styleId="32">
    <w:name w:val="副标题 Char"/>
    <w:basedOn w:val="18"/>
    <w:link w:val="15"/>
    <w:qFormat/>
    <w:uiPriority w:val="11"/>
    <w:rPr>
      <w:rFonts w:asciiTheme="majorHAnsi" w:hAnsiTheme="majorHAnsi" w:eastAsiaTheme="majorEastAsia"/>
      <w:sz w:val="24"/>
      <w:szCs w:val="24"/>
    </w:rPr>
  </w:style>
  <w:style w:type="paragraph" w:customStyle="1" w:styleId="33">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4">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5">
    <w:name w:val="引用1"/>
    <w:basedOn w:val="1"/>
    <w:next w:val="1"/>
    <w:link w:val="36"/>
    <w:qFormat/>
    <w:uiPriority w:val="29"/>
    <w:pPr>
      <w:widowControl/>
      <w:jc w:val="left"/>
    </w:pPr>
    <w:rPr>
      <w:rFonts w:asciiTheme="minorHAnsi" w:hAnsiTheme="minorHAnsi" w:eastAsiaTheme="minorEastAsia"/>
      <w:i/>
      <w:kern w:val="0"/>
      <w:sz w:val="24"/>
    </w:rPr>
  </w:style>
  <w:style w:type="character" w:customStyle="1" w:styleId="36">
    <w:name w:val="引用 Char"/>
    <w:basedOn w:val="18"/>
    <w:link w:val="35"/>
    <w:qFormat/>
    <w:uiPriority w:val="29"/>
    <w:rPr>
      <w:i/>
      <w:sz w:val="24"/>
      <w:szCs w:val="24"/>
    </w:rPr>
  </w:style>
  <w:style w:type="paragraph" w:customStyle="1" w:styleId="37">
    <w:name w:val="明显引用1"/>
    <w:basedOn w:val="1"/>
    <w:next w:val="1"/>
    <w:link w:val="38"/>
    <w:qFormat/>
    <w:uiPriority w:val="30"/>
    <w:pPr>
      <w:widowControl/>
      <w:ind w:left="720" w:right="720"/>
      <w:jc w:val="left"/>
    </w:pPr>
    <w:rPr>
      <w:rFonts w:asciiTheme="minorHAnsi" w:hAnsiTheme="minorHAnsi" w:eastAsiaTheme="minorEastAsia"/>
      <w:b/>
      <w:i/>
      <w:kern w:val="0"/>
      <w:sz w:val="24"/>
      <w:szCs w:val="22"/>
    </w:rPr>
  </w:style>
  <w:style w:type="character" w:customStyle="1" w:styleId="38">
    <w:name w:val="明显引用 Char"/>
    <w:basedOn w:val="18"/>
    <w:link w:val="37"/>
    <w:qFormat/>
    <w:uiPriority w:val="30"/>
    <w:rPr>
      <w:b/>
      <w:i/>
      <w:sz w:val="24"/>
    </w:rPr>
  </w:style>
  <w:style w:type="character" w:customStyle="1" w:styleId="39">
    <w:name w:val="不明显强调1"/>
    <w:qFormat/>
    <w:uiPriority w:val="19"/>
    <w:rPr>
      <w:i/>
      <w:color w:val="595959" w:themeColor="text1" w:themeTint="A5"/>
    </w:rPr>
  </w:style>
  <w:style w:type="character" w:customStyle="1" w:styleId="40">
    <w:name w:val="明显强调1"/>
    <w:basedOn w:val="18"/>
    <w:qFormat/>
    <w:uiPriority w:val="21"/>
    <w:rPr>
      <w:b/>
      <w:i/>
      <w:sz w:val="24"/>
      <w:szCs w:val="24"/>
      <w:u w:val="single"/>
    </w:rPr>
  </w:style>
  <w:style w:type="character" w:customStyle="1" w:styleId="41">
    <w:name w:val="不明显参考1"/>
    <w:basedOn w:val="18"/>
    <w:qFormat/>
    <w:uiPriority w:val="31"/>
    <w:rPr>
      <w:sz w:val="24"/>
      <w:szCs w:val="24"/>
      <w:u w:val="single"/>
    </w:rPr>
  </w:style>
  <w:style w:type="character" w:customStyle="1" w:styleId="42">
    <w:name w:val="明显参考1"/>
    <w:basedOn w:val="18"/>
    <w:qFormat/>
    <w:uiPriority w:val="32"/>
    <w:rPr>
      <w:b/>
      <w:sz w:val="24"/>
      <w:u w:val="single"/>
    </w:rPr>
  </w:style>
  <w:style w:type="character" w:customStyle="1" w:styleId="43">
    <w:name w:val="书籍标题1"/>
    <w:basedOn w:val="18"/>
    <w:qFormat/>
    <w:uiPriority w:val="33"/>
    <w:rPr>
      <w:rFonts w:asciiTheme="majorHAnsi" w:hAnsiTheme="majorHAnsi" w:eastAsiaTheme="majorEastAsia"/>
      <w:b/>
      <w:i/>
      <w:sz w:val="24"/>
      <w:szCs w:val="24"/>
    </w:rPr>
  </w:style>
  <w:style w:type="paragraph" w:customStyle="1" w:styleId="44">
    <w:name w:val="TOC 标题1"/>
    <w:basedOn w:val="2"/>
    <w:next w:val="1"/>
    <w:unhideWhenUsed/>
    <w:qFormat/>
    <w:uiPriority w:val="39"/>
    <w:pPr>
      <w:outlineLvl w:val="9"/>
    </w:pPr>
    <w:rPr>
      <w:lang w:eastAsia="en-US" w:bidi="en-US"/>
    </w:rPr>
  </w:style>
  <w:style w:type="character" w:customStyle="1" w:styleId="45">
    <w:name w:val="页眉 Char"/>
    <w:basedOn w:val="18"/>
    <w:link w:val="14"/>
    <w:qFormat/>
    <w:uiPriority w:val="99"/>
    <w:rPr>
      <w:rFonts w:ascii="Calibri" w:hAnsi="Calibri" w:eastAsia="宋体"/>
      <w:kern w:val="2"/>
      <w:sz w:val="18"/>
      <w:szCs w:val="18"/>
    </w:rPr>
  </w:style>
  <w:style w:type="character" w:customStyle="1" w:styleId="46">
    <w:name w:val="页脚 Char"/>
    <w:basedOn w:val="18"/>
    <w:link w:val="13"/>
    <w:qFormat/>
    <w:uiPriority w:val="99"/>
    <w:rPr>
      <w:rFonts w:ascii="Calibri" w:hAnsi="Calibri" w:eastAsia="宋体"/>
      <w:kern w:val="2"/>
      <w:sz w:val="18"/>
      <w:szCs w:val="18"/>
    </w:rPr>
  </w:style>
  <w:style w:type="character" w:customStyle="1" w:styleId="47">
    <w:name w:val="文档结构图 Char"/>
    <w:basedOn w:val="18"/>
    <w:link w:val="11"/>
    <w:semiHidden/>
    <w:qFormat/>
    <w:uiPriority w:val="99"/>
    <w:rPr>
      <w:rFonts w:ascii="宋体" w:hAnsi="Times New Roman" w:eastAsia="宋体"/>
      <w:kern w:val="2"/>
      <w:sz w:val="18"/>
      <w:szCs w:val="18"/>
    </w:rPr>
  </w:style>
  <w:style w:type="character" w:customStyle="1" w:styleId="48">
    <w:name w:val="批注框文本 Char"/>
    <w:basedOn w:val="18"/>
    <w:link w:val="12"/>
    <w:semiHidden/>
    <w:qFormat/>
    <w:uiPriority w:val="99"/>
    <w:rPr>
      <w:rFonts w:ascii="Times New Roman" w:hAnsi="Times New Roman" w:eastAsia="宋体"/>
      <w:kern w:val="2"/>
      <w:sz w:val="18"/>
      <w:szCs w:val="18"/>
    </w:rPr>
  </w:style>
  <w:style w:type="paragraph" w:customStyle="1" w:styleId="49">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C9948E-C7AC-4B1A-BBAD-BEBC72B75328}">
  <ds:schemaRefs/>
</ds:datastoreItem>
</file>

<file path=docProps/app.xml><?xml version="1.0" encoding="utf-8"?>
<Properties xmlns="http://schemas.openxmlformats.org/officeDocument/2006/extended-properties" xmlns:vt="http://schemas.openxmlformats.org/officeDocument/2006/docPropsVTypes">
  <Template>Normal</Template>
  <Company>塔县财政局</Company>
  <Pages>4</Pages>
  <Words>181</Words>
  <Characters>1035</Characters>
  <Lines>8</Lines>
  <Paragraphs>2</Paragraphs>
  <TotalTime>0</TotalTime>
  <ScaleCrop>false</ScaleCrop>
  <LinksUpToDate>false</LinksUpToDate>
  <CharactersWithSpaces>1214</CharactersWithSpaces>
  <Application>WPS Office_10.1.0.6207_F1E327BC-269C-435d-A152-05C5408002CA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2019-09-21T12:09:22Z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